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before="374" w:line="360" w:lineRule="auto"/>
        <w:jc w:val="center"/>
        <w:rPr>
          <w:rFonts w:ascii="Times New Roman" w:hAnsi="Times New Roman" w:eastAsia="宋体" w:cs="Times New Roman"/>
          <w:color w:val="000000"/>
          <w:kern w:val="2"/>
          <w:sz w:val="30"/>
          <w:szCs w:val="30"/>
        </w:rPr>
      </w:pPr>
      <w:r>
        <w:rPr>
          <w:rFonts w:ascii="Times New Roman" w:hAnsi="Times New Roman" w:eastAsia="宋体" w:cs="Times New Roman"/>
          <w:color w:val="000000"/>
          <w:kern w:val="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posOffset>5080635</wp:posOffset>
                </wp:positionH>
                <wp:positionV relativeFrom="paragraph">
                  <wp:posOffset>0</wp:posOffset>
                </wp:positionV>
                <wp:extent cx="1089025" cy="628015"/>
                <wp:effectExtent l="0" t="0" r="0" b="0"/>
                <wp:wrapSquare wrapText="bothSides"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lang w:eastAsia="zh-CN"/>
                              </w:rPr>
                              <w:drawing>
                                <wp:inline distT="0" distB="0" distL="0" distR="0">
                                  <wp:extent cx="770890" cy="432435"/>
                                  <wp:effectExtent l="0" t="0" r="0" b="5715"/>
                                  <wp:docPr id="2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2201" cy="43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00.05pt;margin-top:0pt;height:49.45pt;width:85.75pt;mso-position-horizontal-relative:page;mso-wrap-distance-bottom:3.6pt;mso-wrap-distance-left:9pt;mso-wrap-distance-right:9pt;mso-wrap-distance-top:3.6pt;z-index:251663360;mso-width-relative:page;mso-height-relative:page;" fillcolor="#FFFFFF" filled="t" stroked="f" coordsize="21600,21600" o:gfxdata="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ujcl/VAAAABwEAAA8AAAAAAAAAAQAgAAAAIgAAAGRycy9kb3ducmV2&#10;LnhtbFBLAQIUABQAAAAIAIdO4kBTBds9OAIAAFMEAAAOAAAAAAAAAAEAIAAAACQBAABkcnMvZTJv&#10;RG9jLnhtbFBLBQYAAAAABgAGAFkBAADO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lang w:eastAsia="zh-CN"/>
                        </w:rPr>
                        <w:drawing>
                          <wp:inline distT="0" distB="0" distL="0" distR="0">
                            <wp:extent cx="770890" cy="432435"/>
                            <wp:effectExtent l="0" t="0" r="0" b="5715"/>
                            <wp:docPr id="2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2201" cy="433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i/>
          <w:iCs/>
          <w:color w:val="000000"/>
          <w:kern w:val="2"/>
          <w:sz w:val="32"/>
          <w:szCs w:val="32"/>
          <w:lang w:val="en-US" w:eastAsia="zh-CN"/>
        </w:rPr>
        <w:t>IFU</w:t>
      </w:r>
      <w:bookmarkStart w:id="3" w:name="_GoBack"/>
      <w:bookmarkEnd w:id="3"/>
      <w:r>
        <w:rPr>
          <w:rFonts w:ascii="Times New Roman" w:hAnsi="Times New Roman" w:eastAsia="宋体" w:cs="Times New Roman"/>
          <w:i/>
          <w:iCs/>
          <w:color w:val="000000"/>
          <w:kern w:val="2"/>
          <w:sz w:val="32"/>
          <w:szCs w:val="32"/>
        </w:rPr>
        <w:softHyphen/>
      </w:r>
      <w:r>
        <w:rPr>
          <w:rFonts w:ascii="Times New Roman" w:hAnsi="Times New Roman" w:eastAsia="宋体" w:cs="Times New Roman"/>
          <w:color w:val="000000"/>
          <w:kern w:val="2"/>
          <w:sz w:val="32"/>
          <w:szCs w:val="32"/>
        </w:rPr>
        <w:t xml:space="preserve"> of Latex Foley Catheter</w:t>
      </w:r>
    </w:p>
    <w:p>
      <w:pPr>
        <w:pStyle w:val="8"/>
        <w:spacing w:before="128" w:line="232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</w:p>
    <w:p>
      <w:pPr>
        <w:pStyle w:val="8"/>
        <w:spacing w:before="128" w:line="232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DESCRIPTION</w:t>
      </w:r>
    </w:p>
    <w:p>
      <w:pPr>
        <w:pStyle w:val="8"/>
        <w:spacing w:before="128" w:line="232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Latex Foley Catheter is available in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one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way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, 2-way and 3-way types. They are made from latex; consist of shaft, drainage funnel, inflation funnel, irrigation funnel (if present), balloon and valve. The product is sterile and intended for single use only.</w:t>
      </w:r>
    </w:p>
    <w:p>
      <w:pPr>
        <w:pStyle w:val="8"/>
        <w:spacing w:before="128" w:line="232" w:lineRule="exact"/>
        <w:rPr>
          <w:rFonts w:cstheme="minorHAnsi"/>
        </w:rPr>
      </w:pPr>
    </w:p>
    <w:p>
      <w:pPr>
        <w:pStyle w:val="8"/>
        <w:spacing w:before="128" w:line="232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INDICATIONS</w:t>
      </w:r>
    </w:p>
    <w:p>
      <w:pPr>
        <w:pStyle w:val="8"/>
        <w:spacing w:before="128" w:line="232" w:lineRule="exact"/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Latex Foley Catheter is used in bladder drainage of urine and/or continuous irrigation of fluids by urethra placement.</w:t>
      </w:r>
      <w:r>
        <w:t xml:space="preserve"> </w:t>
      </w:r>
    </w:p>
    <w:p>
      <w:pPr>
        <w:pStyle w:val="8"/>
        <w:spacing w:before="128" w:line="232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Only for transurethral catheterization operated by qualified training medical staff. </w:t>
      </w: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MODEL and SPECIFICATION</w:t>
      </w: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</w:p>
    <w:tbl>
      <w:tblPr>
        <w:tblStyle w:val="5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71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2552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Times New Roman" w:hAnsi="Times New Roman" w:eastAsia="Times New Roman" w:cs="Times New Roman"/>
                <w:lang w:val="de-DE" w:eastAsia="de-DE" w:bidi="de-DE"/>
              </w:rPr>
            </w:pPr>
            <w:r>
              <w:rPr>
                <w:rFonts w:hint="eastAsia" w:ascii="Times New Roman" w:hAnsi="Times New Roman" w:eastAsia="Times New Roman" w:cs="Times New Roman"/>
                <w:lang w:val="de-DE" w:eastAsia="de-DE" w:bidi="de-DE"/>
              </w:rPr>
              <w:t>type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ascii="Times New Roman" w:hAnsi="Times New Roman" w:eastAsia="Times New Roman" w:cs="Times New Roman"/>
                <w:lang w:val="de-DE" w:eastAsia="de-DE" w:bidi="de-DE"/>
              </w:rPr>
            </w:pPr>
            <w:r>
              <w:rPr>
                <w:rFonts w:ascii="Times New Roman" w:hAnsi="Times New Roman" w:eastAsia="Times New Roman" w:cs="Times New Roman"/>
                <w:lang w:val="de-DE" w:eastAsia="de-DE" w:bidi="de-DE"/>
              </w:rPr>
              <w:t>model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552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  <w:t xml:space="preserve">one-way 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ascii="Times New Roman" w:hAnsi="宋体" w:eastAsia="宋体" w:cs="宋体"/>
                <w:highlight w:val="none"/>
                <w:lang w:val="de-DE" w:eastAsia="de-DE" w:bidi="de-DE"/>
              </w:rPr>
              <w:t>12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ascii="Times New Roman" w:hAnsi="宋体" w:eastAsia="宋体" w:cs="宋体"/>
                <w:highlight w:val="none"/>
                <w:lang w:val="de-DE" w:eastAsia="de-DE" w:bidi="de-DE"/>
              </w:rPr>
              <w:t>, 14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ascii="Times New Roman" w:hAnsi="宋体" w:eastAsia="宋体" w:cs="宋体"/>
                <w:highlight w:val="none"/>
                <w:lang w:val="de-DE" w:eastAsia="de-DE" w:bidi="de-DE"/>
              </w:rPr>
              <w:t>, 16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ascii="Times New Roman" w:hAnsi="宋体" w:eastAsia="宋体" w:cs="宋体"/>
                <w:highlight w:val="none"/>
                <w:lang w:val="de-DE" w:eastAsia="de-DE" w:bidi="de-DE"/>
              </w:rPr>
              <w:t>, 18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552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hint="eastAsia" w:ascii="Times New Roman" w:hAnsi="Times New Roman" w:eastAsia="Times New Roman" w:cs="Times New Roman"/>
                <w:highlight w:val="none"/>
                <w:lang w:val="de-DE" w:eastAsia="de-DE" w:bidi="de-DE"/>
              </w:rPr>
              <w:t xml:space="preserve">Pediatric, 2-way 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6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8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10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552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hint="eastAsia" w:ascii="Times New Roman" w:hAnsi="Times New Roman" w:eastAsia="Times New Roman" w:cs="Times New Roman"/>
                <w:highlight w:val="none"/>
                <w:lang w:val="de-DE" w:eastAsia="de-DE" w:bidi="de-DE"/>
              </w:rPr>
              <w:t>Female</w:t>
            </w:r>
            <w:r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  <w:t>(standard)</w:t>
            </w:r>
            <w:r>
              <w:rPr>
                <w:rFonts w:hint="eastAsia" w:ascii="Times New Roman" w:hAnsi="Times New Roman" w:eastAsia="Times New Roman" w:cs="Times New Roman"/>
                <w:highlight w:val="none"/>
                <w:lang w:val="de-DE" w:eastAsia="de-DE" w:bidi="de-DE"/>
              </w:rPr>
              <w:t xml:space="preserve">, 2-way 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vAlign w:val="bottom"/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16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18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2552" w:type="dxa"/>
            <w:tcBorders>
              <w:tl2br w:val="nil"/>
              <w:tr2bl w:val="nil"/>
            </w:tcBorders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hint="eastAsia" w:ascii="Times New Roman" w:hAnsi="Times New Roman" w:eastAsia="Times New Roman" w:cs="Times New Roman"/>
                <w:highlight w:val="none"/>
                <w:lang w:val="de-DE" w:eastAsia="de-DE" w:bidi="de-DE"/>
              </w:rPr>
              <w:t xml:space="preserve">Male(standard), 2-way 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vAlign w:val="top"/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12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14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16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18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20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22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24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26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28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>, 30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2552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hint="eastAsia" w:ascii="Times New Roman" w:hAnsi="Times New Roman" w:eastAsia="Times New Roman" w:cs="Times New Roman"/>
                <w:highlight w:val="none"/>
                <w:lang w:val="de-DE" w:eastAsia="de-DE" w:bidi="de-DE"/>
              </w:rPr>
              <w:t xml:space="preserve">3-way </w:t>
            </w:r>
          </w:p>
        </w:tc>
        <w:tc>
          <w:tcPr>
            <w:tcW w:w="7195" w:type="dxa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utoSpaceDE w:val="0"/>
              <w:autoSpaceDN w:val="0"/>
              <w:spacing w:before="0" w:after="0"/>
              <w:jc w:val="left"/>
              <w:rPr>
                <w:rFonts w:ascii="Times New Roman" w:hAnsi="Times New Roman" w:eastAsia="Times New Roman" w:cs="Times New Roman"/>
                <w:highlight w:val="none"/>
                <w:lang w:val="de-DE" w:eastAsia="de-DE" w:bidi="de-DE"/>
              </w:rPr>
            </w:pP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 xml:space="preserve">16 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 xml:space="preserve">, 18 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 xml:space="preserve">, 20 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 xml:space="preserve">, 22 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de-DE" w:bidi="de-DE"/>
              </w:rPr>
              <w:t xml:space="preserve">, 24 </w:t>
            </w:r>
            <w:r>
              <w:rPr>
                <w:rFonts w:hint="eastAsia" w:ascii="Times New Roman" w:hAnsi="宋体" w:eastAsia="宋体" w:cs="宋体"/>
                <w:highlight w:val="none"/>
                <w:lang w:val="de-DE" w:eastAsia="zh-CN" w:bidi="de-DE"/>
              </w:rPr>
              <w:t>Fr</w:t>
            </w:r>
          </w:p>
        </w:tc>
      </w:tr>
    </w:tbl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  <w:highlight w:val="none"/>
          <w:lang w:val="de-DE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  <w:highlight w:val="none"/>
          <w:lang w:val="de-DE"/>
        </w:rPr>
        <w:t>Balloon volvume:  3mL, 3~5mL, 5mL, 10mL, 5~10mL, 15mL, 5~15mL, 20mL, 30mL, 40mL,30~50mL,50mL,60mL,80mL</w:t>
      </w: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  <w:highlight w:val="none"/>
          <w:lang w:val="de-DE"/>
        </w:rPr>
      </w:pP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CONTRAINDICATIONS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acute urethritis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acute prostatitis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acute epididymitis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FF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FF0000"/>
          <w:kern w:val="2"/>
          <w:sz w:val="24"/>
          <w:szCs w:val="24"/>
        </w:rPr>
        <w:t xml:space="preserve"> </w:t>
      </w: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WARNING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Do not over inflate the balloon. Refer to outer unit pack or funnel of catheter for balloon capacity.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Inflate catheter balloon with sterile water.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The product is intended for use by physicians trained and aseptic technique must be practiced.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Do not use petroleum-based lubricants.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Do not use if package has been opened or damaged.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Do not clamp catheter shaft. It may damage catheter and prevent deflation.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Do not use needle to inflate balloon. Use Luer syringe.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For single patient use only.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Do not use after the expiry date.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This is a disposable product for single use, any re-sterilization or reuse of the product can result in hazard to the patient.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•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Precautions shall be taken when discarding device and disposal of the device shall be made in accordance with applicable national regulations for biological hazardous waste.</w:t>
      </w: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ADVERSE REACTIONS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Reported adverse reactions associated with Foley Catheter are: Septicemia, Urethritis, Urinary tract infection and encrustations, bladder spasms, abdominal discomfort, abdominal discomfort, etc.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</w:p>
    <w:tbl>
      <w:tblPr>
        <w:tblStyle w:val="5"/>
        <w:tblW w:w="999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94"/>
      </w:tblGrid>
      <w:tr>
        <w:trPr>
          <w:jc w:val="center"/>
        </w:trPr>
        <w:tc>
          <w:tcPr>
            <w:tcW w:w="9389" w:type="dxa"/>
            <w:shd w:val="clear" w:color="auto" w:fill="auto"/>
          </w:tcPr>
          <w:p>
            <w:pPr>
              <w:pStyle w:val="8"/>
              <w:spacing w:before="114" w:line="243" w:lineRule="exact"/>
              <w:rPr>
                <w:rFonts w:ascii="Times New Roman" w:hAnsi="Times New Roman" w:eastAsia="宋体" w:cs="Times New Roman"/>
                <w:b/>
                <w:color w:val="000000"/>
                <w:kern w:val="2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</w:rPr>
              <w:t>USE IN CONJUNCTION WITH OTHER MEDICAL DEVICES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89" w:type="dxa"/>
            <w:shd w:val="clear" w:color="auto" w:fill="auto"/>
          </w:tcPr>
          <w:p>
            <w:pPr>
              <w:pStyle w:val="8"/>
              <w:spacing w:before="114" w:line="243" w:lineRule="exact"/>
              <w:ind w:left="360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</w:rPr>
              <w:t xml:space="preserve">Pre-loaded stylet, Syringe with sterile aqueous glycerin solution, empty syringe and </w:t>
            </w:r>
            <w:r>
              <w:rPr>
                <w:sz w:val="22"/>
              </w:rPr>
              <w:t>urine bag</w:t>
            </w:r>
          </w:p>
        </w:tc>
      </w:tr>
    </w:tbl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DIRECTIONS FOR USE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- The leakage or deflation of balloon should be tested prior to use.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- Generously lubricate tip and shaft of the catheter.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- Carefully insert catheter tip into the bladder (normally indicated by urine flow), and then a further 3 cm to ensure balloon is also inside it.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- Using the syringe set inflate balloon. Recommended volume is marked on funnel of catheter.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- For deflation, cut off the inflation funnel above the valve, or using a syringe without needle push into valve to facilitate drainage.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bookmarkStart w:id="0" w:name="OLE_LINK2"/>
      <w:r>
        <w:rPr>
          <w:rFonts w:ascii="Times New Roman" w:hAnsi="Times New Roman" w:eastAsia="宋体" w:cs="Times New Roman"/>
          <w:b/>
          <w:bCs/>
          <w:color w:val="000000"/>
          <w:kern w:val="2"/>
          <w:sz w:val="24"/>
          <w:szCs w:val="24"/>
        </w:rPr>
        <w:t xml:space="preserve">Notice: </w:t>
      </w:r>
      <w:bookmarkStart w:id="1" w:name="_Hlk138499571"/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The catheter retained in human body should be replaced once time no more than 7 days. and the same type/model should be continuously used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in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</w:t>
      </w:r>
      <w:bookmarkStart w:id="2" w:name="OLE_LINK1"/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a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single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same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patient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</w:t>
      </w:r>
      <w:bookmarkEnd w:id="2"/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not more than 30 days.</w:t>
      </w:r>
    </w:p>
    <w:bookmarkEnd w:id="0"/>
    <w:bookmarkEnd w:id="1"/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CAUTION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- For single use only.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- Sterile if package is unopened or undamaged.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- The size and balloon capacity are marked on outer unit pack and funnel of catheter.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- patients with allergy to natural latex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are</w:t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prohibited.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STORAGE CONDITIONS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- Store in a dark, cool and dry place.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- Avoid freezing and excessive heat.</w:t>
      </w: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cr/>
      </w: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SHELF-LIFE 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3 years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  <w:highlight w:val="yellow"/>
        </w:rPr>
      </w:pPr>
    </w:p>
    <w:p>
      <w:pPr>
        <w:pStyle w:val="8"/>
        <w:spacing w:before="114" w:line="243" w:lineRule="exact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 xml:space="preserve">DISPOSABLE 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  <w:t>The device shall be disposed in accordance with applicable national regulations for biological hazardous waste</w:t>
      </w:r>
    </w:p>
    <w:p>
      <w:pPr>
        <w:pStyle w:val="8"/>
        <w:spacing w:before="114" w:line="243" w:lineRule="exact"/>
        <w:ind w:left="360"/>
        <w:rPr>
          <w:rFonts w:ascii="Times New Roman" w:hAnsi="Times New Roman" w:eastAsia="宋体" w:cs="Times New Roman"/>
          <w:color w:val="000000"/>
          <w:kern w:val="2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000000"/>
          <w:kern w:val="2"/>
          <w:sz w:val="24"/>
          <w:szCs w:val="24"/>
        </w:rPr>
        <w:t>【Symbol and illumination】</w:t>
      </w:r>
    </w:p>
    <w:tbl>
      <w:tblPr>
        <w:tblStyle w:val="5"/>
        <w:tblW w:w="93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6"/>
        <w:gridCol w:w="3034"/>
        <w:gridCol w:w="1620"/>
        <w:gridCol w:w="3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646" w:type="dxa"/>
            <w:vAlign w:val="center"/>
          </w:tcPr>
          <w:p>
            <w:pPr>
              <w:widowControl w:val="0"/>
              <w:jc w:val="center"/>
              <w:rPr>
                <w:rFonts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b/>
                <w:color w:val="313131"/>
                <w:kern w:val="2"/>
                <w:sz w:val="21"/>
                <w:szCs w:val="21"/>
                <w:lang w:eastAsia="zh-CN"/>
              </w:rPr>
              <w:t>Symbol</w:t>
            </w:r>
          </w:p>
        </w:tc>
        <w:tc>
          <w:tcPr>
            <w:tcW w:w="3034" w:type="dxa"/>
            <w:vAlign w:val="center"/>
          </w:tcPr>
          <w:p>
            <w:pPr>
              <w:widowControl w:val="0"/>
              <w:jc w:val="center"/>
              <w:rPr>
                <w:rFonts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b/>
                <w:color w:val="313131"/>
                <w:kern w:val="2"/>
                <w:sz w:val="21"/>
                <w:szCs w:val="21"/>
                <w:lang w:eastAsia="zh-CN"/>
              </w:rPr>
              <w:t>Introductions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b/>
                <w:color w:val="313131"/>
                <w:kern w:val="2"/>
                <w:sz w:val="21"/>
                <w:szCs w:val="21"/>
                <w:lang w:eastAsia="zh-CN"/>
              </w:rPr>
              <w:t>Symbol</w:t>
            </w:r>
          </w:p>
        </w:tc>
        <w:tc>
          <w:tcPr>
            <w:tcW w:w="3060" w:type="dxa"/>
            <w:vAlign w:val="center"/>
          </w:tcPr>
          <w:p>
            <w:pPr>
              <w:widowControl w:val="0"/>
              <w:jc w:val="center"/>
              <w:rPr>
                <w:rFonts w:cs="Arial"/>
                <w:b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b/>
                <w:color w:val="313131"/>
                <w:kern w:val="2"/>
                <w:sz w:val="21"/>
                <w:szCs w:val="21"/>
                <w:lang w:eastAsia="zh-CN"/>
              </w:rPr>
              <w:t>Introductions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1646" w:type="dxa"/>
            <w:vAlign w:val="center"/>
          </w:tcPr>
          <w:p>
            <w:pPr>
              <w:widowControl w:val="0"/>
              <w:jc w:val="center"/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color w:val="000000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436245" cy="275590"/>
                  <wp:effectExtent l="0" t="0" r="190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28" cy="28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Align w:val="center"/>
          </w:tcPr>
          <w:p>
            <w:pPr>
              <w:widowControl w:val="0"/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  <w:t>Batch Code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color w:val="000000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447675" cy="414020"/>
                  <wp:effectExtent l="0" t="0" r="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02" cy="42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>
            <w:pPr>
              <w:widowControl w:val="0"/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bCs/>
                <w:kern w:val="2"/>
                <w:sz w:val="21"/>
                <w:szCs w:val="21"/>
                <w:lang w:eastAsia="zh-CN"/>
              </w:rPr>
              <w:t>“Do not reuse" are "single use, "Use only once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646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387985" cy="36258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Align w:val="center"/>
          </w:tcPr>
          <w:p>
            <w:pPr>
              <w:widowControl w:val="0"/>
              <w:autoSpaceDN w:val="0"/>
              <w:spacing w:before="45" w:after="45" w:line="270" w:lineRule="atLeast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  <w:t xml:space="preserve">Warnings and Precautions 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drawing>
                <wp:inline distT="0" distB="0" distL="114300" distR="114300">
                  <wp:extent cx="735965" cy="421005"/>
                  <wp:effectExtent l="0" t="0" r="6985" b="0"/>
                  <wp:docPr id="2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9431" b="23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42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t>EO sterilization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  <w:jc w:val="center"/>
        </w:trPr>
        <w:tc>
          <w:tcPr>
            <w:tcW w:w="1646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365760" cy="372110"/>
                  <wp:effectExtent l="0" t="0" r="0" b="889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Align w:val="center"/>
          </w:tcPr>
          <w:p>
            <w:pPr>
              <w:widowControl w:val="0"/>
              <w:autoSpaceDN w:val="0"/>
              <w:spacing w:before="45" w:after="45" w:line="270" w:lineRule="atLeast"/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  <w:t>Damaged packing, please do not use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drawing>
                <wp:inline distT="0" distB="0" distL="0" distR="0">
                  <wp:extent cx="372110" cy="384175"/>
                  <wp:effectExtent l="0" t="0" r="889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sz w:val="21"/>
                <w:szCs w:val="21"/>
                <w:lang w:eastAsia="zh-CN"/>
              </w:rPr>
              <w:t>Do not re</w:t>
            </w:r>
            <w:r>
              <w:rPr>
                <w:rFonts w:hint="eastAsia" w:cs="Arial"/>
                <w:sz w:val="21"/>
                <w:szCs w:val="21"/>
                <w:lang w:eastAsia="zh-CN"/>
              </w:rPr>
              <w:t>-</w:t>
            </w:r>
            <w:r>
              <w:rPr>
                <w:rFonts w:cs="Arial"/>
                <w:sz w:val="21"/>
                <w:szCs w:val="21"/>
                <w:lang w:eastAsia="zh-CN"/>
              </w:rPr>
              <w:t>sterilized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1646" w:type="dxa"/>
            <w:vAlign w:val="center"/>
          </w:tcPr>
          <w:p>
            <w:pPr>
              <w:widowControl w:val="0"/>
              <w:jc w:val="center"/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655320" cy="413385"/>
                  <wp:effectExtent l="0" t="0" r="0" b="571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0" r="5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99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Align w:val="center"/>
          </w:tcPr>
          <w:p>
            <w:pPr>
              <w:widowControl w:val="0"/>
              <w:autoSpaceDN w:val="0"/>
              <w:spacing w:before="45" w:after="45" w:line="270" w:lineRule="atLeast"/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  <w:t>medical device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387985" cy="319405"/>
                  <wp:effectExtent l="0" t="0" r="0" b="444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  <w:t xml:space="preserve">Manufacture Date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1646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387985" cy="379730"/>
                  <wp:effectExtent l="0" t="0" r="0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t>Manufacturer Name Address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491490" cy="215900"/>
                  <wp:effectExtent l="0" t="0" r="381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t>Name and Address of European Union Representative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  <w:jc w:val="center"/>
        </w:trPr>
        <w:tc>
          <w:tcPr>
            <w:tcW w:w="1646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791210" cy="283210"/>
                  <wp:effectExtent l="0" t="0" r="889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73" cy="285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t xml:space="preserve">CE </w:t>
            </w:r>
            <w:r>
              <w:rPr>
                <w:rFonts w:cs="Arial"/>
                <w:color w:val="313131"/>
                <w:kern w:val="2"/>
                <w:sz w:val="21"/>
                <w:szCs w:val="21"/>
                <w:lang w:eastAsia="zh-CN"/>
              </w:rPr>
              <w:t>Symbol, Notify Body number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323215" cy="438785"/>
                  <wp:effectExtent l="0" t="0" r="63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cs="Arial"/>
                <w:kern w:val="2"/>
                <w:sz w:val="21"/>
                <w:szCs w:val="21"/>
                <w:lang w:eastAsia="zh-CN"/>
              </w:rPr>
              <w:t>Usedby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  <w:jc w:val="center"/>
        </w:trPr>
        <w:tc>
          <w:tcPr>
            <w:tcW w:w="1646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460375" cy="434340"/>
                  <wp:effectExtent l="0" t="0" r="0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29" cy="436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t>Protect from heat and radioactive sources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479425" cy="490855"/>
                  <wp:effectExtent l="0" t="0" r="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76" cy="495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t>Use no hooks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1646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490220" cy="481965"/>
                  <wp:effectExtent l="0" t="0" r="508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57" cy="484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t>Put upside</w:t>
            </w:r>
          </w:p>
        </w:tc>
        <w:tc>
          <w:tcPr>
            <w:tcW w:w="1620" w:type="dxa"/>
            <w:vAlign w:val="center"/>
          </w:tcPr>
          <w:p>
            <w:pPr>
              <w:widowControl w:val="0"/>
              <w:jc w:val="center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drawing>
                <wp:inline distT="0" distB="0" distL="0" distR="0">
                  <wp:extent cx="581025" cy="42862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06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>
            <w:pPr>
              <w:widowControl w:val="0"/>
              <w:rPr>
                <w:rFonts w:cs="Arial"/>
                <w:kern w:val="2"/>
                <w:sz w:val="21"/>
                <w:szCs w:val="21"/>
                <w:lang w:eastAsia="zh-CN"/>
              </w:rPr>
            </w:pPr>
            <w:r>
              <w:rPr>
                <w:rFonts w:cs="Arial"/>
                <w:kern w:val="2"/>
                <w:sz w:val="21"/>
                <w:szCs w:val="21"/>
                <w:lang w:eastAsia="zh-CN"/>
              </w:rPr>
              <w:t>Unique Device Identifier</w:t>
            </w:r>
          </w:p>
        </w:tc>
      </w:tr>
    </w:tbl>
    <w:p>
      <w:pPr>
        <w:rPr>
          <w:rFonts w:cs="Arial"/>
          <w:szCs w:val="20"/>
        </w:rPr>
      </w:pP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570230</wp:posOffset>
                </wp:positionH>
                <wp:positionV relativeFrom="paragraph">
                  <wp:posOffset>281305</wp:posOffset>
                </wp:positionV>
                <wp:extent cx="5549900" cy="61214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0" w:after="0"/>
                            </w:pPr>
                            <w:r>
                              <w:t>Shandong WuZhou Medical Equipment Co.,Ltd.</w:t>
                            </w:r>
                          </w:p>
                          <w:p>
                            <w:pPr>
                              <w:spacing w:before="0" w:after="0"/>
                            </w:pPr>
                            <w:r>
                              <w:t>Dingtao (Yantai) Industrial Park, Heze city, Shandong 274100, P.R. CHINA.</w:t>
                            </w:r>
                          </w:p>
                          <w:p>
                            <w:pPr>
                              <w:spacing w:before="0" w:after="0"/>
                              <w:rPr>
                                <w:color w:val="FF0000"/>
                                <w:lang w:eastAsia="zh-CN"/>
                              </w:rPr>
                            </w:pPr>
                            <w:r>
                              <w:t>Tel: +86-0530-2135552</w:t>
                            </w:r>
                            <w:r>
                              <w:rPr>
                                <w:lang w:eastAsia="zh-CN"/>
                              </w:rPr>
                              <w:t xml:space="preserve">;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4.9pt;margin-top:22.15pt;height:48.2pt;width:437pt;mso-position-horizontal-relative:margin;mso-wrap-distance-bottom:3.6pt;mso-wrap-distance-left:9pt;mso-wrap-distance-right:9pt;mso-wrap-distance-top:3.6pt;z-index:251661312;mso-width-relative:page;mso-height-relative:page;" fillcolor="#FFFFFF" filled="t" stroked="f" coordsize="21600,21600" o:gfxdata="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rOBpN1wAAAAkBAAAPAAAAAAAAAAEAIAAAACIAAABkcnMvZG93&#10;bnJldi54bWxQSwECFAAUAAAACACHTuJAXuwkRjoCAABUBAAADgAAAAAAAAABACAAAAAm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0" w:after="0"/>
                      </w:pPr>
                      <w:r>
                        <w:t>Shandong WuZhou Medical Equipment Co.,Ltd.</w:t>
                      </w:r>
                    </w:p>
                    <w:p>
                      <w:pPr>
                        <w:spacing w:before="0" w:after="0"/>
                      </w:pPr>
                      <w:r>
                        <w:t>Dingtao (Yantai) Industrial Park, Heze city, Shandong 274100, P.R. CHINA.</w:t>
                      </w:r>
                    </w:p>
                    <w:p>
                      <w:pPr>
                        <w:spacing w:before="0" w:after="0"/>
                        <w:rPr>
                          <w:color w:val="FF0000"/>
                          <w:lang w:eastAsia="zh-CN"/>
                        </w:rPr>
                      </w:pPr>
                      <w:r>
                        <w:t>Tel: +86-0530-2135552</w:t>
                      </w:r>
                      <w:r>
                        <w:rPr>
                          <w:lang w:eastAsia="zh-CN"/>
                        </w:rPr>
                        <w:t xml:space="preserve">;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before="0" w:after="0"/>
        <w:ind w:firstLine="840" w:firstLineChars="400"/>
        <w:rPr>
          <w:rFonts w:cs="Arial"/>
          <w:szCs w:val="20"/>
          <w:lang w:val="es-ES"/>
        </w:rPr>
      </w:pPr>
      <w:r>
        <w:rPr>
          <w:rFonts w:cs="Arial"/>
          <w:sz w:val="21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60960</wp:posOffset>
            </wp:positionV>
            <wp:extent cx="469900" cy="382905"/>
            <wp:effectExtent l="0" t="0" r="6350" b="0"/>
            <wp:wrapNone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cs="Arial"/>
          <w:i/>
          <w:iCs/>
          <w:szCs w:val="20"/>
          <w:lang w:eastAsia="zh-CN"/>
        </w:rPr>
      </w:pPr>
    </w:p>
    <w:p>
      <w:pPr>
        <w:jc w:val="left"/>
        <w:rPr>
          <w:rFonts w:cs="Arial"/>
          <w:i/>
          <w:iCs/>
          <w:szCs w:val="20"/>
          <w:lang w:eastAsia="zh-CN"/>
        </w:rPr>
      </w:pPr>
      <w:r>
        <w:rPr>
          <w:rFonts w:cs="Arial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913130</wp:posOffset>
                </wp:positionH>
                <wp:positionV relativeFrom="paragraph">
                  <wp:posOffset>166370</wp:posOffset>
                </wp:positionV>
                <wp:extent cx="5342890" cy="619760"/>
                <wp:effectExtent l="0" t="0" r="0" b="0"/>
                <wp:wrapSquare wrapText="bothSides"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289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before="0" w:after="0"/>
                              <w:rPr>
                                <w:lang w:eastAsia="zh-CN"/>
                              </w:rPr>
                            </w:pPr>
                            <w:r>
                              <w:t xml:space="preserve">Lotus NL B.V. </w:t>
                            </w:r>
                          </w:p>
                          <w:p>
                            <w:pPr>
                              <w:spacing w:before="0" w:after="0"/>
                            </w:pPr>
                            <w:r>
                              <w:t>Koningin Julianaplein 10, 1e Verd, 2595AA, The Hague, Netherlands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>
                            <w:pPr>
                              <w:spacing w:before="0" w:after="0"/>
                            </w:pPr>
                            <w:r>
                              <w:t>Tel: +31644168999;                     E-mail: peter@lotusnl.com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1.9pt;margin-top:13.1pt;height:48.8pt;width:420.7pt;mso-position-horizontal-relative:margin;mso-wrap-distance-bottom:3.6pt;mso-wrap-distance-left:9pt;mso-wrap-distance-right:9pt;mso-wrap-distance-top:3.6pt;z-index:251662336;mso-width-relative:page;mso-height-relative:page;" fillcolor="#FFFFFF" filled="t" stroked="f" coordsize="21600,21600" o:gfxdata="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AqtYfHXAAAACgEAAA8AAAAAAAAAAQAgAAAAIgAAAGRycy9kb3du&#10;cmV2LnhtbFBLAQIUABQAAAAIAIdO4kBxhTdiOQIAAFMEAAAOAAAAAAAAAAEAIAAAACY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0" w:after="0"/>
                        <w:rPr>
                          <w:lang w:eastAsia="zh-CN"/>
                        </w:rPr>
                      </w:pPr>
                      <w:r>
                        <w:t xml:space="preserve">Lotus NL B.V. </w:t>
                      </w:r>
                    </w:p>
                    <w:p>
                      <w:pPr>
                        <w:spacing w:before="0" w:after="0"/>
                      </w:pPr>
                      <w:r>
                        <w:t>Koningin Julianaplein 10, 1e Verd, 2595AA, The Hague, Netherlands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>
                      <w:pPr>
                        <w:spacing w:before="0" w:after="0"/>
                      </w:pPr>
                      <w:r>
                        <w:t>Tel: +31644168999;                     E-mail: peter@lotusnl.com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222250</wp:posOffset>
            </wp:positionV>
            <wp:extent cx="736600" cy="368300"/>
            <wp:effectExtent l="0" t="0" r="0" b="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cs="Arial"/>
          <w:i/>
          <w:iCs/>
          <w:szCs w:val="20"/>
          <w:lang w:eastAsia="zh-CN"/>
        </w:rPr>
      </w:pPr>
    </w:p>
    <w:p>
      <w:pPr>
        <w:jc w:val="left"/>
        <w:rPr>
          <w:rFonts w:cs="Arial"/>
          <w:i/>
          <w:iCs/>
          <w:szCs w:val="20"/>
          <w:lang w:eastAsia="zh-CN"/>
        </w:rPr>
      </w:pPr>
    </w:p>
    <w:p>
      <w:pPr>
        <w:jc w:val="left"/>
        <w:rPr>
          <w:rFonts w:cs="Arial"/>
          <w:i/>
          <w:iCs/>
          <w:szCs w:val="20"/>
          <w:lang w:eastAsia="zh-CN"/>
        </w:rPr>
      </w:pPr>
    </w:p>
    <w:p>
      <w:pPr>
        <w:jc w:val="left"/>
        <w:rPr>
          <w:rFonts w:cs="Arial"/>
          <w:i/>
          <w:iCs/>
          <w:szCs w:val="20"/>
          <w:lang w:eastAsia="zh-CN"/>
        </w:rPr>
      </w:pPr>
      <w:r>
        <w:rPr>
          <w:rFonts w:cs="Arial"/>
          <w:i/>
          <w:iCs/>
          <w:szCs w:val="20"/>
          <w:lang w:eastAsia="zh-CN"/>
        </w:rPr>
        <w:t xml:space="preserve">File no: WZ/CE-DNG-IFU         </w:t>
      </w:r>
      <w:r>
        <w:rPr>
          <w:rFonts w:hint="eastAsia" w:cs="Arial"/>
          <w:i/>
          <w:iCs/>
          <w:szCs w:val="20"/>
          <w:lang w:eastAsia="zh-CN"/>
        </w:rPr>
        <w:t>Issued date: 20</w:t>
      </w:r>
      <w:r>
        <w:rPr>
          <w:rFonts w:cs="Arial"/>
          <w:i/>
          <w:iCs/>
          <w:szCs w:val="20"/>
          <w:lang w:eastAsia="zh-CN"/>
        </w:rPr>
        <w:t>23</w:t>
      </w:r>
      <w:r>
        <w:rPr>
          <w:rFonts w:hint="eastAsia" w:cs="Arial"/>
          <w:i/>
          <w:iCs/>
          <w:szCs w:val="20"/>
          <w:lang w:eastAsia="zh-CN"/>
        </w:rPr>
        <w:t>-</w:t>
      </w:r>
      <w:r>
        <w:rPr>
          <w:rFonts w:cs="Arial"/>
          <w:i/>
          <w:iCs/>
          <w:szCs w:val="20"/>
          <w:lang w:eastAsia="zh-CN"/>
        </w:rPr>
        <w:t>06</w:t>
      </w:r>
      <w:r>
        <w:rPr>
          <w:rFonts w:hint="eastAsia" w:cs="Arial"/>
          <w:i/>
          <w:iCs/>
          <w:szCs w:val="20"/>
          <w:lang w:eastAsia="zh-CN"/>
        </w:rPr>
        <w:t xml:space="preserve">-10, </w:t>
      </w:r>
      <w:r>
        <w:rPr>
          <w:rFonts w:cs="Arial"/>
          <w:i/>
          <w:iCs/>
          <w:szCs w:val="20"/>
          <w:lang w:eastAsia="zh-CN"/>
        </w:rPr>
        <w:t>R</w:t>
      </w:r>
      <w:r>
        <w:rPr>
          <w:rFonts w:hint="eastAsia" w:cs="Arial"/>
          <w:i/>
          <w:iCs/>
          <w:szCs w:val="20"/>
          <w:lang w:eastAsia="zh-CN"/>
        </w:rPr>
        <w:t xml:space="preserve">ev. </w:t>
      </w:r>
      <w:r>
        <w:rPr>
          <w:rFonts w:cs="Arial"/>
          <w:i/>
          <w:iCs/>
          <w:szCs w:val="20"/>
          <w:lang w:eastAsia="zh-CN"/>
        </w:rPr>
        <w:t>A</w:t>
      </w:r>
      <w:r>
        <w:rPr>
          <w:rFonts w:hint="eastAsia" w:cs="Arial"/>
          <w:i/>
          <w:iCs/>
          <w:szCs w:val="20"/>
          <w:lang w:eastAsia="zh-CN"/>
        </w:rPr>
        <w:t>/0</w:t>
      </w:r>
    </w:p>
    <w:sectPr>
      <w:footerReference r:id="rId4" w:type="default"/>
      <w:pgSz w:w="11900" w:h="16820"/>
      <w:pgMar w:top="1440" w:right="1080" w:bottom="1440" w:left="1080" w:header="720" w:footer="720" w:gutter="0"/>
      <w:pgNumType w:start="1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9520E8B-58E4-434C-A34A-ABD8F82B637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C380EF9-2157-4FAA-A1F4-FEF9DFF082E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CC13897-69E4-4223-B80A-E2D323AF3A9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912E255-579F-47B3-8E27-5B2D8F64DE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7AC215B-F92F-48F5-B165-7DEE2AA171B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529D2F9-1A51-48C0-8DCF-A602FD6494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05FCC4C4-CD03-4314-B13D-A0D6B5B6BF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 w:eastAsia="zh-CN"/>
      </w:rPr>
      <w:t>2</w:t>
    </w:r>
    <w:r>
      <w:rPr>
        <w:b/>
        <w:bCs/>
      </w:rPr>
      <w:fldChar w:fldCharType="end"/>
    </w:r>
    <w:r>
      <w:rPr>
        <w:lang w:val="zh-CN" w:eastAsia="zh-CN"/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b/>
        <w:bCs/>
        <w:lang w:val="zh-CN" w:eastAsia="zh-CN"/>
      </w:rPr>
      <w:t>5</w:t>
    </w:r>
    <w:r>
      <w:rPr>
        <w:b/>
        <w:bCs/>
        <w:lang w:val="zh-CN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OGUwZDQyMzc1NjdiNmU1OTk5NGZmYjA1MWRlNTYifQ=="/>
  </w:docVars>
  <w:rsids>
    <w:rsidRoot w:val="00BA5B2D"/>
    <w:rsid w:val="00067D96"/>
    <w:rsid w:val="00070427"/>
    <w:rsid w:val="000B61D5"/>
    <w:rsid w:val="000C0065"/>
    <w:rsid w:val="000F584E"/>
    <w:rsid w:val="001023D0"/>
    <w:rsid w:val="00113811"/>
    <w:rsid w:val="00163DE2"/>
    <w:rsid w:val="00167EFC"/>
    <w:rsid w:val="00187C94"/>
    <w:rsid w:val="001A0540"/>
    <w:rsid w:val="001D2F52"/>
    <w:rsid w:val="00210B79"/>
    <w:rsid w:val="0021200E"/>
    <w:rsid w:val="002365FA"/>
    <w:rsid w:val="002A1C19"/>
    <w:rsid w:val="002B2FDA"/>
    <w:rsid w:val="002D34C7"/>
    <w:rsid w:val="002D5B58"/>
    <w:rsid w:val="002D6AE0"/>
    <w:rsid w:val="002E6656"/>
    <w:rsid w:val="00313C48"/>
    <w:rsid w:val="003338AE"/>
    <w:rsid w:val="00346CC4"/>
    <w:rsid w:val="00377EF5"/>
    <w:rsid w:val="004155E9"/>
    <w:rsid w:val="004A1500"/>
    <w:rsid w:val="004B2C94"/>
    <w:rsid w:val="004D50A7"/>
    <w:rsid w:val="004E0672"/>
    <w:rsid w:val="004E4F33"/>
    <w:rsid w:val="004F71AF"/>
    <w:rsid w:val="00523075"/>
    <w:rsid w:val="005340C9"/>
    <w:rsid w:val="0056197B"/>
    <w:rsid w:val="005C5A84"/>
    <w:rsid w:val="00604F29"/>
    <w:rsid w:val="00621F29"/>
    <w:rsid w:val="00630C7E"/>
    <w:rsid w:val="00643C07"/>
    <w:rsid w:val="00653A67"/>
    <w:rsid w:val="0066756A"/>
    <w:rsid w:val="00697847"/>
    <w:rsid w:val="006A1F55"/>
    <w:rsid w:val="00717C6B"/>
    <w:rsid w:val="00775EB5"/>
    <w:rsid w:val="007B0BCF"/>
    <w:rsid w:val="007D7801"/>
    <w:rsid w:val="007F195A"/>
    <w:rsid w:val="00800FF5"/>
    <w:rsid w:val="00860A4A"/>
    <w:rsid w:val="00872BB5"/>
    <w:rsid w:val="0089310A"/>
    <w:rsid w:val="008E2D30"/>
    <w:rsid w:val="00901A20"/>
    <w:rsid w:val="00902283"/>
    <w:rsid w:val="0090278C"/>
    <w:rsid w:val="00916F0C"/>
    <w:rsid w:val="00946BBE"/>
    <w:rsid w:val="0096307F"/>
    <w:rsid w:val="009B0454"/>
    <w:rsid w:val="009C09B1"/>
    <w:rsid w:val="009E59A6"/>
    <w:rsid w:val="009E63CD"/>
    <w:rsid w:val="00A14E46"/>
    <w:rsid w:val="00A778A2"/>
    <w:rsid w:val="00AC3E4A"/>
    <w:rsid w:val="00B06B85"/>
    <w:rsid w:val="00B50F4D"/>
    <w:rsid w:val="00B646E6"/>
    <w:rsid w:val="00B8075A"/>
    <w:rsid w:val="00B95069"/>
    <w:rsid w:val="00BA5B2D"/>
    <w:rsid w:val="00BC40CA"/>
    <w:rsid w:val="00C17F68"/>
    <w:rsid w:val="00C62E52"/>
    <w:rsid w:val="00C63ED6"/>
    <w:rsid w:val="00C70B92"/>
    <w:rsid w:val="00C93950"/>
    <w:rsid w:val="00C9554D"/>
    <w:rsid w:val="00CA05A2"/>
    <w:rsid w:val="00CD306A"/>
    <w:rsid w:val="00CE7428"/>
    <w:rsid w:val="00CF1EC8"/>
    <w:rsid w:val="00CF5CD2"/>
    <w:rsid w:val="00D16D65"/>
    <w:rsid w:val="00D3419B"/>
    <w:rsid w:val="00D50016"/>
    <w:rsid w:val="00D9098B"/>
    <w:rsid w:val="00DA3AFB"/>
    <w:rsid w:val="00DB0CCE"/>
    <w:rsid w:val="00DB35BC"/>
    <w:rsid w:val="00DC1124"/>
    <w:rsid w:val="00DF497C"/>
    <w:rsid w:val="00E14CE8"/>
    <w:rsid w:val="00E2636B"/>
    <w:rsid w:val="00E470A8"/>
    <w:rsid w:val="00E65672"/>
    <w:rsid w:val="00EB3CEF"/>
    <w:rsid w:val="00EB46AC"/>
    <w:rsid w:val="00EF2343"/>
    <w:rsid w:val="00F87C5E"/>
    <w:rsid w:val="00F92961"/>
    <w:rsid w:val="00FB3E6F"/>
    <w:rsid w:val="00FF6630"/>
    <w:rsid w:val="0D611F51"/>
    <w:rsid w:val="29C116C0"/>
    <w:rsid w:val="3741336E"/>
    <w:rsid w:val="56B8749D"/>
    <w:rsid w:val="677046E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iPriority="0" w:name="heading 2"/>
    <w:lsdException w:uiPriority="0" w:name="heading 3"/>
    <w:lsdException w:uiPriority="0" w:name="heading 4"/>
    <w:lsdException w:uiPriority="0" w:name="heading 5"/>
    <w:lsdException w:uiPriority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pPr>
      <w:spacing w:before="0" w:after="0"/>
    </w:pPr>
    <w:rPr>
      <w:sz w:val="18"/>
      <w:szCs w:val="18"/>
    </w:r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autoRedefine/>
    <w:qFormat/>
    <w:uiPriority w:val="0"/>
    <w:rPr>
      <w:color w:val="0000FF"/>
      <w:u w:val="single"/>
    </w:rPr>
  </w:style>
  <w:style w:type="paragraph" w:customStyle="1" w:styleId="8">
    <w:name w:val="无列表1"/>
    <w:autoRedefine/>
    <w:semiHidden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table" w:customStyle="1" w:styleId="9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10">
    <w:name w:val="trans"/>
    <w:autoRedefine/>
    <w:qFormat/>
    <w:uiPriority w:val="0"/>
  </w:style>
  <w:style w:type="character" w:customStyle="1" w:styleId="11">
    <w:name w:val="页眉 字符"/>
    <w:basedOn w:val="6"/>
    <w:link w:val="4"/>
    <w:autoRedefine/>
    <w:qFormat/>
    <w:uiPriority w:val="0"/>
    <w:rPr>
      <w:sz w:val="18"/>
      <w:szCs w:val="18"/>
      <w:lang w:eastAsia="en-US"/>
    </w:rPr>
  </w:style>
  <w:style w:type="character" w:customStyle="1" w:styleId="12">
    <w:name w:val="页脚 字符"/>
    <w:basedOn w:val="6"/>
    <w:link w:val="3"/>
    <w:autoRedefine/>
    <w:qFormat/>
    <w:uiPriority w:val="0"/>
    <w:rPr>
      <w:sz w:val="18"/>
      <w:szCs w:val="18"/>
      <w:lang w:eastAsia="en-US"/>
    </w:rPr>
  </w:style>
  <w:style w:type="character" w:customStyle="1" w:styleId="13">
    <w:name w:val="批注框文本 字符"/>
    <w:basedOn w:val="6"/>
    <w:link w:val="2"/>
    <w:autoRedefine/>
    <w:qFormat/>
    <w:uiPriority w:val="0"/>
    <w:rPr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emf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emf"/><Relationship Id="rId15" Type="http://schemas.openxmlformats.org/officeDocument/2006/relationships/image" Target="media/image10.emf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4</Pages>
  <Words>610</Words>
  <Characters>3478</Characters>
  <Lines>28</Lines>
  <Paragraphs>8</Paragraphs>
  <TotalTime>0</TotalTime>
  <ScaleCrop>false</ScaleCrop>
  <LinksUpToDate>false</LinksUpToDate>
  <CharactersWithSpaces>4080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2024-01-27T02:39:00Z</dcterms:created>
  <dc:creator>pc</dc:creator>
  <cp:lastModifiedBy>影旎砜Zealot~</cp:lastModifiedBy>
  <dcterms:modified xsi:type="dcterms:W3CDTF">2024-03-17T11:10:26Z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B652E283710B428DB578345C54E3BDF4</vt:lpwstr>
  </property>
</Properties>
</file>